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DF" w:rsidRDefault="00280E35" w:rsidP="00836DEE">
      <w:pPr>
        <w:spacing w:beforeLines="50" w:before="156" w:afterLines="50" w:after="156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002108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证券简称：沧州明珠</w:t>
      </w:r>
    </w:p>
    <w:p w:rsidR="00E678DF" w:rsidRDefault="00E678DF" w:rsidP="00836DE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E678DF" w:rsidRDefault="00280E35" w:rsidP="00836DE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2019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10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28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日投资者关系活动记录表</w:t>
      </w:r>
    </w:p>
    <w:p w:rsidR="00E678DF" w:rsidRDefault="00E678DF" w:rsidP="00836DE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</w:p>
    <w:p w:rsidR="00E678DF" w:rsidRDefault="00280E35">
      <w:pPr>
        <w:spacing w:line="400" w:lineRule="exact"/>
        <w:ind w:firstLineChars="2700" w:firstLine="64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编号：【</w:t>
      </w:r>
      <w:r>
        <w:rPr>
          <w:rFonts w:ascii="宋体" w:hAnsi="宋体"/>
          <w:bCs/>
          <w:iCs/>
          <w:color w:val="000000"/>
          <w:sz w:val="24"/>
        </w:rPr>
        <w:t>201</w:t>
      </w:r>
      <w:r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】</w:t>
      </w:r>
      <w:r>
        <w:rPr>
          <w:rFonts w:ascii="宋体" w:hAnsi="宋体" w:hint="eastAsia"/>
          <w:bCs/>
          <w:iCs/>
          <w:color w:val="000000"/>
          <w:sz w:val="24"/>
        </w:rPr>
        <w:t>00</w:t>
      </w:r>
      <w:r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8017"/>
      </w:tblGrid>
      <w:tr w:rsidR="00E678DF">
        <w:trPr>
          <w:jc w:val="center"/>
        </w:trPr>
        <w:tc>
          <w:tcPr>
            <w:tcW w:w="2036" w:type="dxa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8017" w:type="dxa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Wingdings" w:hint="eastAsia"/>
                <w:bCs/>
                <w:iCs/>
                <w:color w:val="000000"/>
                <w:kern w:val="0"/>
                <w:sz w:val="24"/>
              </w:rPr>
              <w:sym w:font="Wingdings" w:char="F0FE"/>
            </w:r>
            <w:r>
              <w:rPr>
                <w:rFonts w:ascii="宋体" w:hAnsi="宋体" w:hint="eastAsia"/>
                <w:kern w:val="0"/>
                <w:sz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E678DF" w:rsidRDefault="00280E3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E678DF" w:rsidRDefault="00280E35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其他（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kern w:val="0"/>
                <w:sz w:val="24"/>
                <w:u w:val="single"/>
              </w:rPr>
              <w:t>说明其他活动内容）</w:t>
            </w:r>
          </w:p>
        </w:tc>
      </w:tr>
      <w:tr w:rsidR="00E678DF">
        <w:trPr>
          <w:trHeight w:val="892"/>
          <w:jc w:val="center"/>
        </w:trPr>
        <w:tc>
          <w:tcPr>
            <w:tcW w:w="2036" w:type="dxa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8017" w:type="dxa"/>
            <w:vAlign w:val="center"/>
          </w:tcPr>
          <w:p w:rsidR="00E678DF" w:rsidRDefault="00280E35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广发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纪成伟</w:t>
            </w:r>
          </w:p>
          <w:p w:rsidR="00E678DF" w:rsidRDefault="00280E35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渤海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滕飞</w:t>
            </w:r>
          </w:p>
        </w:tc>
      </w:tr>
      <w:tr w:rsidR="00E678DF">
        <w:trPr>
          <w:jc w:val="center"/>
        </w:trPr>
        <w:tc>
          <w:tcPr>
            <w:tcW w:w="2036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17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:30</w:t>
            </w:r>
          </w:p>
        </w:tc>
      </w:tr>
      <w:tr w:rsidR="00E678DF">
        <w:trPr>
          <w:jc w:val="center"/>
        </w:trPr>
        <w:tc>
          <w:tcPr>
            <w:tcW w:w="2036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017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公司证券投资部</w:t>
            </w:r>
          </w:p>
        </w:tc>
      </w:tr>
      <w:tr w:rsidR="00E678DF">
        <w:trPr>
          <w:jc w:val="center"/>
        </w:trPr>
        <w:tc>
          <w:tcPr>
            <w:tcW w:w="2036" w:type="dxa"/>
          </w:tcPr>
          <w:p w:rsidR="00E678DF" w:rsidRDefault="00280E3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</w:t>
            </w:r>
          </w:p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8017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证券事务代表梁芳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、证券事务主管范风梧</w:t>
            </w:r>
          </w:p>
        </w:tc>
      </w:tr>
      <w:tr w:rsidR="00E678DF">
        <w:trPr>
          <w:trHeight w:val="557"/>
          <w:jc w:val="center"/>
        </w:trPr>
        <w:tc>
          <w:tcPr>
            <w:tcW w:w="2036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8017" w:type="dxa"/>
          </w:tcPr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FB329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目前公司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隔膜产品价格情况怎样？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前三季度不含税均价分别是干法隔膜均价约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平米，湿法隔膜约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平米。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、隔膜产品的盈利情况怎么样？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</w:t>
            </w:r>
            <w:r w:rsidR="00250C1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隔膜生产线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产能未得到完全释放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产能利用率较低，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造成</w:t>
            </w:r>
            <w:r w:rsidR="00A666A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生产成本较高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公司将通过不断完善工艺技术水平和控制成本来努力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改善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隔膜产品的盈利能力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250C1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后续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产能利用率的提升</w:t>
            </w:r>
            <w:r w:rsidR="00250C1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释放将</w:t>
            </w:r>
            <w:proofErr w:type="gramStart"/>
            <w:r w:rsidR="008F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摊薄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部分</w:t>
            </w:r>
            <w:proofErr w:type="gramEnd"/>
            <w:r w:rsidR="00250C1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成本。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公司隔膜产品的主要客户</w:t>
            </w:r>
            <w:r w:rsidR="00BE494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是哪些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干法</w:t>
            </w:r>
            <w:r w:rsidR="008F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隔膜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主要</w:t>
            </w:r>
            <w:r w:rsidR="00A666A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客户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比亚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湿法</w:t>
            </w:r>
            <w:r w:rsidR="008F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隔膜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主要</w:t>
            </w:r>
            <w:r w:rsidR="00A666A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客户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是宁德时代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、隔膜产品在市场开拓中有什么进展吗？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目前湿法隔膜产品已顺利导入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宁德时代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，实现了批量供应。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国外客户也在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积极开拓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，但认证时间比较长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BOPA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薄膜价格变化情况如何？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BOPA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薄膜的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前三季度均价在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19</w:t>
            </w:r>
            <w:r w:rsidR="0086742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,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000多元每吨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较去年</w:t>
            </w:r>
            <w:r w:rsidR="0086742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同期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下降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%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销量</w:t>
            </w:r>
            <w:r w:rsidR="0086742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较上年同期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变化不大。</w:t>
            </w:r>
          </w:p>
          <w:p w:rsidR="00E678DF" w:rsidRDefault="00280E3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、公司管道产品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情况如何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E678DF" w:rsidRDefault="008A1752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740DA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PE</w:t>
            </w:r>
            <w:bookmarkStart w:id="0" w:name="_GoBack"/>
            <w:bookmarkEnd w:id="0"/>
            <w:r w:rsidR="00280E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管道产品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产销情况稳定。</w:t>
            </w:r>
            <w:r w:rsid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销量较上年同期略有增长，</w:t>
            </w:r>
            <w:r w:rsidR="00280E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前三季度价格较去年</w:t>
            </w:r>
            <w:r w:rsid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同期</w:t>
            </w:r>
            <w:r w:rsidR="00280E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有所下降，但</w:t>
            </w:r>
            <w:r w:rsid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产品成本较上年同期也有所下降，产品</w:t>
            </w:r>
            <w:r w:rsidR="00280E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毛利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率较上年同期</w:t>
            </w:r>
            <w:r w:rsidR="00740DA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是</w:t>
            </w:r>
            <w:r w:rsidR="00836DE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有所提升</w:t>
            </w:r>
            <w:r w:rsidR="00740DA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</w:t>
            </w:r>
            <w:r w:rsidR="00280E3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8E203E" w:rsidRDefault="00280E35" w:rsidP="008E203E">
            <w:pPr>
              <w:spacing w:line="360" w:lineRule="auto"/>
              <w:ind w:firstLine="480"/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公司目前隔膜产品的产能是多少？</w:t>
            </w:r>
          </w:p>
          <w:p w:rsidR="008E203E" w:rsidRDefault="008E203E" w:rsidP="008E203E">
            <w:pPr>
              <w:spacing w:line="360" w:lineRule="auto"/>
              <w:ind w:firstLine="480"/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干法隔膜设计产能1亿平</w:t>
            </w:r>
            <w:r w:rsidR="009A5E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方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米，湿法隔膜</w:t>
            </w:r>
            <w:r w:rsidR="009A5E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设计产能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1.9亿平</w:t>
            </w:r>
            <w:r w:rsidR="009A5E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方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米。</w:t>
            </w:r>
          </w:p>
          <w:p w:rsidR="008E203E" w:rsidRDefault="00280E35" w:rsidP="008E203E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公司后续是否还有扩产计划？</w:t>
            </w:r>
          </w:p>
          <w:p w:rsidR="008E203E" w:rsidRPr="008E203E" w:rsidRDefault="008E203E" w:rsidP="008E203E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目前尚无扩产计划。</w:t>
            </w:r>
            <w:r w:rsidRP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目前将继续致力于目前现有三大主业的发展。在PE管道产品方面，随着城镇化进程的加快以及“清洁能源”的大力推广，PE管道产品的需求量在不断提升。公司燃气管材在保持现有状态的基础上，积极拓展大型客户市场，增大公司产品在一线客户的占有率，进一步扩大公司PE管道产品知名度。给水管材将积极开发公司三个生产基地周围的水管市场，提高产品市场占有率和服务质量，拓展高端水</w:t>
            </w:r>
            <w:proofErr w:type="gramStart"/>
            <w:r w:rsidRP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务</w:t>
            </w:r>
            <w:proofErr w:type="gramEnd"/>
            <w:r w:rsidRPr="008E203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和地热公司市场；在BOPA薄膜产品方面，在产品市场价格下降等的不利因素影响下公司将继续积极开拓市场，在生产线满产的同时继续挖掘产能，以实现产品成本最低化，将产品销售层次提高优化，增加产品的竞争力；在锂离子电池隔膜方面将继续完善工艺技术、提升产能，降低产品成本，提高产品品质，积极开拓市场、开发优质客户。</w:t>
            </w:r>
          </w:p>
        </w:tc>
      </w:tr>
      <w:tr w:rsidR="00E678DF">
        <w:trPr>
          <w:jc w:val="center"/>
        </w:trPr>
        <w:tc>
          <w:tcPr>
            <w:tcW w:w="2036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8017" w:type="dxa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E678DF">
        <w:trPr>
          <w:jc w:val="center"/>
        </w:trPr>
        <w:tc>
          <w:tcPr>
            <w:tcW w:w="2036" w:type="dxa"/>
            <w:vAlign w:val="center"/>
          </w:tcPr>
          <w:p w:rsidR="00E678DF" w:rsidRDefault="00280E35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8017" w:type="dxa"/>
          </w:tcPr>
          <w:p w:rsidR="00E678DF" w:rsidRDefault="00280E35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E678DF" w:rsidRDefault="00E678DF">
      <w:pPr>
        <w:spacing w:before="312"/>
        <w:ind w:right="-840"/>
      </w:pPr>
    </w:p>
    <w:sectPr w:rsidR="00E678D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5" w:rsidRDefault="00280E35">
      <w:r>
        <w:separator/>
      </w:r>
    </w:p>
  </w:endnote>
  <w:endnote w:type="continuationSeparator" w:id="0">
    <w:p w:rsidR="00280E35" w:rsidRDefault="002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F" w:rsidRDefault="00280E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8DF" w:rsidRDefault="00E678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F" w:rsidRDefault="00280E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752">
      <w:rPr>
        <w:rStyle w:val="a6"/>
        <w:noProof/>
      </w:rPr>
      <w:t>2</w:t>
    </w:r>
    <w:r>
      <w:rPr>
        <w:rStyle w:val="a6"/>
      </w:rPr>
      <w:fldChar w:fldCharType="end"/>
    </w:r>
  </w:p>
  <w:p w:rsidR="00E678DF" w:rsidRDefault="00E67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5" w:rsidRDefault="00280E35">
      <w:r>
        <w:separator/>
      </w:r>
    </w:p>
  </w:footnote>
  <w:footnote w:type="continuationSeparator" w:id="0">
    <w:p w:rsidR="00280E35" w:rsidRDefault="0028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4FA3"/>
    <w:rsid w:val="00007CF5"/>
    <w:rsid w:val="00012017"/>
    <w:rsid w:val="00014F0B"/>
    <w:rsid w:val="00022DD8"/>
    <w:rsid w:val="0002324C"/>
    <w:rsid w:val="00025573"/>
    <w:rsid w:val="00027AD3"/>
    <w:rsid w:val="00031153"/>
    <w:rsid w:val="00040CDD"/>
    <w:rsid w:val="00042C20"/>
    <w:rsid w:val="000459AC"/>
    <w:rsid w:val="00073F79"/>
    <w:rsid w:val="00084DA0"/>
    <w:rsid w:val="00087D4F"/>
    <w:rsid w:val="000925E4"/>
    <w:rsid w:val="00092F9B"/>
    <w:rsid w:val="00097B21"/>
    <w:rsid w:val="00097C34"/>
    <w:rsid w:val="000A2429"/>
    <w:rsid w:val="000A3D78"/>
    <w:rsid w:val="000A7C30"/>
    <w:rsid w:val="000B081A"/>
    <w:rsid w:val="000C54F8"/>
    <w:rsid w:val="000C7488"/>
    <w:rsid w:val="000E11AC"/>
    <w:rsid w:val="000E3712"/>
    <w:rsid w:val="000E42DD"/>
    <w:rsid w:val="000E6DC0"/>
    <w:rsid w:val="000F4F03"/>
    <w:rsid w:val="00103612"/>
    <w:rsid w:val="00106F33"/>
    <w:rsid w:val="00125198"/>
    <w:rsid w:val="001251DE"/>
    <w:rsid w:val="00127870"/>
    <w:rsid w:val="00143F6B"/>
    <w:rsid w:val="00152E6D"/>
    <w:rsid w:val="00157B53"/>
    <w:rsid w:val="0016374E"/>
    <w:rsid w:val="00165F7B"/>
    <w:rsid w:val="00175862"/>
    <w:rsid w:val="00180481"/>
    <w:rsid w:val="00185693"/>
    <w:rsid w:val="00186C39"/>
    <w:rsid w:val="001870A2"/>
    <w:rsid w:val="0019073A"/>
    <w:rsid w:val="00194D14"/>
    <w:rsid w:val="00195E3C"/>
    <w:rsid w:val="001A0596"/>
    <w:rsid w:val="001A2A60"/>
    <w:rsid w:val="001A6842"/>
    <w:rsid w:val="001A78CA"/>
    <w:rsid w:val="001B7407"/>
    <w:rsid w:val="001C580A"/>
    <w:rsid w:val="001C7C85"/>
    <w:rsid w:val="001D73BD"/>
    <w:rsid w:val="001E0A38"/>
    <w:rsid w:val="001E165B"/>
    <w:rsid w:val="001E541B"/>
    <w:rsid w:val="001F0B9F"/>
    <w:rsid w:val="00200431"/>
    <w:rsid w:val="002053D2"/>
    <w:rsid w:val="00214277"/>
    <w:rsid w:val="002158E6"/>
    <w:rsid w:val="002201E1"/>
    <w:rsid w:val="0022624B"/>
    <w:rsid w:val="0023178D"/>
    <w:rsid w:val="002327EC"/>
    <w:rsid w:val="00250296"/>
    <w:rsid w:val="00250C1C"/>
    <w:rsid w:val="00267C6F"/>
    <w:rsid w:val="00280E35"/>
    <w:rsid w:val="0028258C"/>
    <w:rsid w:val="00286BB5"/>
    <w:rsid w:val="00287948"/>
    <w:rsid w:val="00292B38"/>
    <w:rsid w:val="00292C3B"/>
    <w:rsid w:val="00297EC4"/>
    <w:rsid w:val="002A29DC"/>
    <w:rsid w:val="002A5AA4"/>
    <w:rsid w:val="002B004C"/>
    <w:rsid w:val="002B1226"/>
    <w:rsid w:val="002B79C9"/>
    <w:rsid w:val="002C18D3"/>
    <w:rsid w:val="002D2B14"/>
    <w:rsid w:val="002D3D5F"/>
    <w:rsid w:val="002F125E"/>
    <w:rsid w:val="002F4075"/>
    <w:rsid w:val="00300213"/>
    <w:rsid w:val="00306279"/>
    <w:rsid w:val="00306D3A"/>
    <w:rsid w:val="00311FA2"/>
    <w:rsid w:val="00312077"/>
    <w:rsid w:val="00314C20"/>
    <w:rsid w:val="003174B3"/>
    <w:rsid w:val="003335D2"/>
    <w:rsid w:val="003336BE"/>
    <w:rsid w:val="00333A67"/>
    <w:rsid w:val="00334F42"/>
    <w:rsid w:val="00336A0C"/>
    <w:rsid w:val="00342898"/>
    <w:rsid w:val="0035126E"/>
    <w:rsid w:val="00360AF4"/>
    <w:rsid w:val="0036485B"/>
    <w:rsid w:val="00366CCA"/>
    <w:rsid w:val="00380F8C"/>
    <w:rsid w:val="00391A82"/>
    <w:rsid w:val="00394D5F"/>
    <w:rsid w:val="00396971"/>
    <w:rsid w:val="0039719F"/>
    <w:rsid w:val="003A4FA3"/>
    <w:rsid w:val="003B1D07"/>
    <w:rsid w:val="003B4613"/>
    <w:rsid w:val="003B4C4A"/>
    <w:rsid w:val="003C33A5"/>
    <w:rsid w:val="003D787F"/>
    <w:rsid w:val="003E2738"/>
    <w:rsid w:val="003E5DBA"/>
    <w:rsid w:val="003F242F"/>
    <w:rsid w:val="003F6D2B"/>
    <w:rsid w:val="003F7EA1"/>
    <w:rsid w:val="00401711"/>
    <w:rsid w:val="004029CE"/>
    <w:rsid w:val="004045CA"/>
    <w:rsid w:val="00404752"/>
    <w:rsid w:val="004058C8"/>
    <w:rsid w:val="004125BE"/>
    <w:rsid w:val="004140CA"/>
    <w:rsid w:val="00417BA9"/>
    <w:rsid w:val="00422958"/>
    <w:rsid w:val="004276D5"/>
    <w:rsid w:val="00427DC1"/>
    <w:rsid w:val="0043688B"/>
    <w:rsid w:val="00440BD9"/>
    <w:rsid w:val="0044369B"/>
    <w:rsid w:val="004440B4"/>
    <w:rsid w:val="004444F9"/>
    <w:rsid w:val="0044770F"/>
    <w:rsid w:val="00454FDA"/>
    <w:rsid w:val="00471351"/>
    <w:rsid w:val="00472B67"/>
    <w:rsid w:val="00473ACF"/>
    <w:rsid w:val="0047659A"/>
    <w:rsid w:val="00476D2A"/>
    <w:rsid w:val="00491124"/>
    <w:rsid w:val="00494BC4"/>
    <w:rsid w:val="004A4FED"/>
    <w:rsid w:val="004B3B53"/>
    <w:rsid w:val="004B497E"/>
    <w:rsid w:val="004C2801"/>
    <w:rsid w:val="004C49B9"/>
    <w:rsid w:val="004C4CD8"/>
    <w:rsid w:val="004D0083"/>
    <w:rsid w:val="004D2F11"/>
    <w:rsid w:val="004E1CC0"/>
    <w:rsid w:val="005053A5"/>
    <w:rsid w:val="005077BA"/>
    <w:rsid w:val="0050790D"/>
    <w:rsid w:val="005140D3"/>
    <w:rsid w:val="00515DC9"/>
    <w:rsid w:val="00517FC4"/>
    <w:rsid w:val="00525AFE"/>
    <w:rsid w:val="00525BD5"/>
    <w:rsid w:val="005407EF"/>
    <w:rsid w:val="00541CB3"/>
    <w:rsid w:val="00542EB1"/>
    <w:rsid w:val="0054326A"/>
    <w:rsid w:val="00555F39"/>
    <w:rsid w:val="00560572"/>
    <w:rsid w:val="00564436"/>
    <w:rsid w:val="005666E7"/>
    <w:rsid w:val="00575484"/>
    <w:rsid w:val="00577525"/>
    <w:rsid w:val="00585C15"/>
    <w:rsid w:val="005947CF"/>
    <w:rsid w:val="00594E8D"/>
    <w:rsid w:val="005966A9"/>
    <w:rsid w:val="005B0378"/>
    <w:rsid w:val="005C3BA7"/>
    <w:rsid w:val="005D3D76"/>
    <w:rsid w:val="005D45A7"/>
    <w:rsid w:val="005D66A1"/>
    <w:rsid w:val="005E1172"/>
    <w:rsid w:val="005E75DF"/>
    <w:rsid w:val="005F2BAC"/>
    <w:rsid w:val="005F2F43"/>
    <w:rsid w:val="005F76E6"/>
    <w:rsid w:val="00603756"/>
    <w:rsid w:val="00603EE2"/>
    <w:rsid w:val="00607FFD"/>
    <w:rsid w:val="00615A42"/>
    <w:rsid w:val="00617630"/>
    <w:rsid w:val="00625FC1"/>
    <w:rsid w:val="006365B5"/>
    <w:rsid w:val="00650560"/>
    <w:rsid w:val="0065382E"/>
    <w:rsid w:val="00656D7D"/>
    <w:rsid w:val="00665623"/>
    <w:rsid w:val="0066575A"/>
    <w:rsid w:val="0066594A"/>
    <w:rsid w:val="00665DD7"/>
    <w:rsid w:val="006723BD"/>
    <w:rsid w:val="006745AA"/>
    <w:rsid w:val="00676A4D"/>
    <w:rsid w:val="00676E5B"/>
    <w:rsid w:val="00686677"/>
    <w:rsid w:val="006914E0"/>
    <w:rsid w:val="00695DC6"/>
    <w:rsid w:val="006A3E18"/>
    <w:rsid w:val="006A5914"/>
    <w:rsid w:val="006B2C8E"/>
    <w:rsid w:val="006C3F35"/>
    <w:rsid w:val="006C4E25"/>
    <w:rsid w:val="006D066C"/>
    <w:rsid w:val="006D2CDA"/>
    <w:rsid w:val="006D5ECA"/>
    <w:rsid w:val="006E1070"/>
    <w:rsid w:val="006F3FA8"/>
    <w:rsid w:val="006F5E7C"/>
    <w:rsid w:val="00701A8E"/>
    <w:rsid w:val="007159B0"/>
    <w:rsid w:val="007235DE"/>
    <w:rsid w:val="007312F3"/>
    <w:rsid w:val="00735D15"/>
    <w:rsid w:val="00740DA6"/>
    <w:rsid w:val="00747E8B"/>
    <w:rsid w:val="00755CFD"/>
    <w:rsid w:val="0075608E"/>
    <w:rsid w:val="007640A1"/>
    <w:rsid w:val="0076598F"/>
    <w:rsid w:val="007717F3"/>
    <w:rsid w:val="00771F41"/>
    <w:rsid w:val="00785429"/>
    <w:rsid w:val="00786389"/>
    <w:rsid w:val="0078734D"/>
    <w:rsid w:val="00791D2B"/>
    <w:rsid w:val="007939A2"/>
    <w:rsid w:val="007A5806"/>
    <w:rsid w:val="007A7A93"/>
    <w:rsid w:val="007B114F"/>
    <w:rsid w:val="007B215B"/>
    <w:rsid w:val="007C0701"/>
    <w:rsid w:val="007D0281"/>
    <w:rsid w:val="007D4C41"/>
    <w:rsid w:val="007D585E"/>
    <w:rsid w:val="007D5B27"/>
    <w:rsid w:val="007E2734"/>
    <w:rsid w:val="007E5804"/>
    <w:rsid w:val="0080796C"/>
    <w:rsid w:val="00810596"/>
    <w:rsid w:val="0081089E"/>
    <w:rsid w:val="008109A6"/>
    <w:rsid w:val="008126C8"/>
    <w:rsid w:val="00813843"/>
    <w:rsid w:val="00821194"/>
    <w:rsid w:val="00826AAA"/>
    <w:rsid w:val="00835406"/>
    <w:rsid w:val="00836DEE"/>
    <w:rsid w:val="008415A2"/>
    <w:rsid w:val="008515D8"/>
    <w:rsid w:val="00860868"/>
    <w:rsid w:val="0086332F"/>
    <w:rsid w:val="00865250"/>
    <w:rsid w:val="00865C1C"/>
    <w:rsid w:val="0086742C"/>
    <w:rsid w:val="008736C9"/>
    <w:rsid w:val="00874D70"/>
    <w:rsid w:val="008767C8"/>
    <w:rsid w:val="0088374A"/>
    <w:rsid w:val="008850F6"/>
    <w:rsid w:val="0088609B"/>
    <w:rsid w:val="00895A3C"/>
    <w:rsid w:val="008A1752"/>
    <w:rsid w:val="008A3FC1"/>
    <w:rsid w:val="008A7718"/>
    <w:rsid w:val="008B1EA6"/>
    <w:rsid w:val="008B28FD"/>
    <w:rsid w:val="008B63AE"/>
    <w:rsid w:val="008B6F34"/>
    <w:rsid w:val="008C3133"/>
    <w:rsid w:val="008C7014"/>
    <w:rsid w:val="008D0471"/>
    <w:rsid w:val="008E203E"/>
    <w:rsid w:val="008F0C46"/>
    <w:rsid w:val="008F29BB"/>
    <w:rsid w:val="008F2AC3"/>
    <w:rsid w:val="008F3DFD"/>
    <w:rsid w:val="008F5E3B"/>
    <w:rsid w:val="008F67F1"/>
    <w:rsid w:val="008F6D8B"/>
    <w:rsid w:val="00900D03"/>
    <w:rsid w:val="00910AB5"/>
    <w:rsid w:val="009131FB"/>
    <w:rsid w:val="009227E9"/>
    <w:rsid w:val="009325AA"/>
    <w:rsid w:val="009357C3"/>
    <w:rsid w:val="00937616"/>
    <w:rsid w:val="00945730"/>
    <w:rsid w:val="0095101B"/>
    <w:rsid w:val="00953EAB"/>
    <w:rsid w:val="00954EDC"/>
    <w:rsid w:val="00955855"/>
    <w:rsid w:val="00967AC2"/>
    <w:rsid w:val="009719F4"/>
    <w:rsid w:val="00973EBF"/>
    <w:rsid w:val="00975758"/>
    <w:rsid w:val="009801FD"/>
    <w:rsid w:val="009838C3"/>
    <w:rsid w:val="009939C5"/>
    <w:rsid w:val="00997071"/>
    <w:rsid w:val="009971B6"/>
    <w:rsid w:val="009A0E28"/>
    <w:rsid w:val="009A149E"/>
    <w:rsid w:val="009A51C2"/>
    <w:rsid w:val="009A5E13"/>
    <w:rsid w:val="009A6556"/>
    <w:rsid w:val="009B7461"/>
    <w:rsid w:val="009C0052"/>
    <w:rsid w:val="009C0149"/>
    <w:rsid w:val="009C4DF6"/>
    <w:rsid w:val="009D270D"/>
    <w:rsid w:val="009D3D3F"/>
    <w:rsid w:val="009D4B41"/>
    <w:rsid w:val="009D6524"/>
    <w:rsid w:val="009E0335"/>
    <w:rsid w:val="009F5EA8"/>
    <w:rsid w:val="009F6A2C"/>
    <w:rsid w:val="009F793E"/>
    <w:rsid w:val="00A01E18"/>
    <w:rsid w:val="00A0696F"/>
    <w:rsid w:val="00A06ED9"/>
    <w:rsid w:val="00A1179B"/>
    <w:rsid w:val="00A20E13"/>
    <w:rsid w:val="00A24399"/>
    <w:rsid w:val="00A26DB6"/>
    <w:rsid w:val="00A3065A"/>
    <w:rsid w:val="00A32E8C"/>
    <w:rsid w:val="00A439DE"/>
    <w:rsid w:val="00A63C7B"/>
    <w:rsid w:val="00A666A1"/>
    <w:rsid w:val="00A72642"/>
    <w:rsid w:val="00A7698C"/>
    <w:rsid w:val="00A9052C"/>
    <w:rsid w:val="00AA400C"/>
    <w:rsid w:val="00AA5DC1"/>
    <w:rsid w:val="00AB12CB"/>
    <w:rsid w:val="00AC1425"/>
    <w:rsid w:val="00AC3007"/>
    <w:rsid w:val="00AD4DD3"/>
    <w:rsid w:val="00AD74AC"/>
    <w:rsid w:val="00AE0239"/>
    <w:rsid w:val="00AE40AB"/>
    <w:rsid w:val="00AF2066"/>
    <w:rsid w:val="00AF2402"/>
    <w:rsid w:val="00AF2B8A"/>
    <w:rsid w:val="00AF431E"/>
    <w:rsid w:val="00B06578"/>
    <w:rsid w:val="00B136A8"/>
    <w:rsid w:val="00B2094A"/>
    <w:rsid w:val="00B21243"/>
    <w:rsid w:val="00B31520"/>
    <w:rsid w:val="00B320E7"/>
    <w:rsid w:val="00B413D8"/>
    <w:rsid w:val="00B4148A"/>
    <w:rsid w:val="00B4248D"/>
    <w:rsid w:val="00B42DA3"/>
    <w:rsid w:val="00B43264"/>
    <w:rsid w:val="00B438BD"/>
    <w:rsid w:val="00B43F40"/>
    <w:rsid w:val="00B50F02"/>
    <w:rsid w:val="00B53834"/>
    <w:rsid w:val="00B57EF0"/>
    <w:rsid w:val="00B65E1F"/>
    <w:rsid w:val="00B74114"/>
    <w:rsid w:val="00B914F0"/>
    <w:rsid w:val="00B95C0B"/>
    <w:rsid w:val="00BA042F"/>
    <w:rsid w:val="00BA38BD"/>
    <w:rsid w:val="00BA515D"/>
    <w:rsid w:val="00BA6747"/>
    <w:rsid w:val="00BB33BF"/>
    <w:rsid w:val="00BB6A19"/>
    <w:rsid w:val="00BC1526"/>
    <w:rsid w:val="00BC1740"/>
    <w:rsid w:val="00BC1AE6"/>
    <w:rsid w:val="00BC65B3"/>
    <w:rsid w:val="00BD10FB"/>
    <w:rsid w:val="00BD557D"/>
    <w:rsid w:val="00BE35AD"/>
    <w:rsid w:val="00BE494D"/>
    <w:rsid w:val="00C01444"/>
    <w:rsid w:val="00C034B9"/>
    <w:rsid w:val="00C05F82"/>
    <w:rsid w:val="00C169CA"/>
    <w:rsid w:val="00C218D7"/>
    <w:rsid w:val="00C25686"/>
    <w:rsid w:val="00C25716"/>
    <w:rsid w:val="00C310C3"/>
    <w:rsid w:val="00C31A96"/>
    <w:rsid w:val="00C325C2"/>
    <w:rsid w:val="00C37E57"/>
    <w:rsid w:val="00C410FB"/>
    <w:rsid w:val="00C43302"/>
    <w:rsid w:val="00C43A59"/>
    <w:rsid w:val="00C5003A"/>
    <w:rsid w:val="00C626A5"/>
    <w:rsid w:val="00C650F0"/>
    <w:rsid w:val="00C72808"/>
    <w:rsid w:val="00C744B9"/>
    <w:rsid w:val="00C77630"/>
    <w:rsid w:val="00C92FEF"/>
    <w:rsid w:val="00C93FE4"/>
    <w:rsid w:val="00CA0421"/>
    <w:rsid w:val="00CA70F4"/>
    <w:rsid w:val="00CB00FD"/>
    <w:rsid w:val="00CB1A89"/>
    <w:rsid w:val="00CB5398"/>
    <w:rsid w:val="00CB6131"/>
    <w:rsid w:val="00CB6572"/>
    <w:rsid w:val="00CD070F"/>
    <w:rsid w:val="00CD4908"/>
    <w:rsid w:val="00CD522C"/>
    <w:rsid w:val="00CD7B68"/>
    <w:rsid w:val="00CE57F6"/>
    <w:rsid w:val="00CF16AE"/>
    <w:rsid w:val="00CF795F"/>
    <w:rsid w:val="00D05273"/>
    <w:rsid w:val="00D36239"/>
    <w:rsid w:val="00D366FE"/>
    <w:rsid w:val="00D40C41"/>
    <w:rsid w:val="00D467BB"/>
    <w:rsid w:val="00D50E9C"/>
    <w:rsid w:val="00D526FB"/>
    <w:rsid w:val="00D52795"/>
    <w:rsid w:val="00D5365D"/>
    <w:rsid w:val="00D557A0"/>
    <w:rsid w:val="00D57F9D"/>
    <w:rsid w:val="00D64475"/>
    <w:rsid w:val="00D70140"/>
    <w:rsid w:val="00D70682"/>
    <w:rsid w:val="00D74E11"/>
    <w:rsid w:val="00D7764B"/>
    <w:rsid w:val="00D81B7E"/>
    <w:rsid w:val="00D8294C"/>
    <w:rsid w:val="00D866A6"/>
    <w:rsid w:val="00D8671E"/>
    <w:rsid w:val="00D86FA2"/>
    <w:rsid w:val="00D96F47"/>
    <w:rsid w:val="00DA38F9"/>
    <w:rsid w:val="00DA6450"/>
    <w:rsid w:val="00DB0649"/>
    <w:rsid w:val="00DB0A29"/>
    <w:rsid w:val="00DB4C63"/>
    <w:rsid w:val="00DC232B"/>
    <w:rsid w:val="00DD1E42"/>
    <w:rsid w:val="00DD327B"/>
    <w:rsid w:val="00DD4F0B"/>
    <w:rsid w:val="00DF3DBC"/>
    <w:rsid w:val="00DF51A0"/>
    <w:rsid w:val="00E05B25"/>
    <w:rsid w:val="00E13EA7"/>
    <w:rsid w:val="00E156C1"/>
    <w:rsid w:val="00E16A2C"/>
    <w:rsid w:val="00E20487"/>
    <w:rsid w:val="00E20790"/>
    <w:rsid w:val="00E22742"/>
    <w:rsid w:val="00E276FA"/>
    <w:rsid w:val="00E313E3"/>
    <w:rsid w:val="00E35402"/>
    <w:rsid w:val="00E52E4C"/>
    <w:rsid w:val="00E62A24"/>
    <w:rsid w:val="00E678DF"/>
    <w:rsid w:val="00E76DE5"/>
    <w:rsid w:val="00E90821"/>
    <w:rsid w:val="00E923F4"/>
    <w:rsid w:val="00E96583"/>
    <w:rsid w:val="00EA05F8"/>
    <w:rsid w:val="00EA13AC"/>
    <w:rsid w:val="00EA6037"/>
    <w:rsid w:val="00EA7514"/>
    <w:rsid w:val="00EB27FE"/>
    <w:rsid w:val="00EC0C43"/>
    <w:rsid w:val="00EC3948"/>
    <w:rsid w:val="00ED098F"/>
    <w:rsid w:val="00ED2D5F"/>
    <w:rsid w:val="00ED7FE7"/>
    <w:rsid w:val="00EE076F"/>
    <w:rsid w:val="00EE5AA6"/>
    <w:rsid w:val="00F0094C"/>
    <w:rsid w:val="00F07D0A"/>
    <w:rsid w:val="00F1371D"/>
    <w:rsid w:val="00F166D4"/>
    <w:rsid w:val="00F171EE"/>
    <w:rsid w:val="00F200D8"/>
    <w:rsid w:val="00F23D02"/>
    <w:rsid w:val="00F41A13"/>
    <w:rsid w:val="00F52D8C"/>
    <w:rsid w:val="00F60EE7"/>
    <w:rsid w:val="00F63AD2"/>
    <w:rsid w:val="00F65470"/>
    <w:rsid w:val="00F859D4"/>
    <w:rsid w:val="00F87401"/>
    <w:rsid w:val="00F95863"/>
    <w:rsid w:val="00F97C8F"/>
    <w:rsid w:val="00FA3B9D"/>
    <w:rsid w:val="00FA4795"/>
    <w:rsid w:val="00FA64B7"/>
    <w:rsid w:val="00FB3298"/>
    <w:rsid w:val="00FB406E"/>
    <w:rsid w:val="00FB5928"/>
    <w:rsid w:val="00FB7AE6"/>
    <w:rsid w:val="00FC1604"/>
    <w:rsid w:val="00FC453F"/>
    <w:rsid w:val="00FC45AE"/>
    <w:rsid w:val="00FC4901"/>
    <w:rsid w:val="00FD42C3"/>
    <w:rsid w:val="00FD6F2E"/>
    <w:rsid w:val="00FE4BB8"/>
    <w:rsid w:val="00FE4FE7"/>
    <w:rsid w:val="00FF21DC"/>
    <w:rsid w:val="00FF3D21"/>
    <w:rsid w:val="00FF5AC0"/>
    <w:rsid w:val="0DAD6C66"/>
    <w:rsid w:val="10896135"/>
    <w:rsid w:val="135B40BA"/>
    <w:rsid w:val="2D2E2761"/>
    <w:rsid w:val="3BF83378"/>
    <w:rsid w:val="4DFA4A01"/>
    <w:rsid w:val="522C76F7"/>
    <w:rsid w:val="5B9E520A"/>
    <w:rsid w:val="616102AF"/>
    <w:rsid w:val="63284861"/>
    <w:rsid w:val="68F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rPr>
      <w:rFonts w:cs="Times New Roman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6122D-7BBF-483F-9DB3-40AD4914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254</cp:revision>
  <cp:lastPrinted>2016-12-19T01:17:00Z</cp:lastPrinted>
  <dcterms:created xsi:type="dcterms:W3CDTF">2016-12-19T00:20:00Z</dcterms:created>
  <dcterms:modified xsi:type="dcterms:W3CDTF">2019-10-28T06:36:00Z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